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20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pStyle w:val="2"/>
        <w:spacing w:line="315" w:lineRule="auto"/>
      </w:pPr>
    </w:p>
    <w:p>
      <w:pPr>
        <w:spacing w:before="101" w:line="226" w:lineRule="auto"/>
        <w:jc w:val="center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2025年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松阳校区（管委会、工程师学院）</w:t>
      </w:r>
      <w:r>
        <w:rPr>
          <w:rFonts w:ascii="黑体" w:hAnsi="黑体" w:eastAsia="黑体" w:cs="黑体"/>
          <w:spacing w:val="9"/>
          <w:sz w:val="31"/>
          <w:szCs w:val="31"/>
        </w:rPr>
        <w:t>党政班子成员党风廉政建设和反腐</w:t>
      </w:r>
      <w:r>
        <w:rPr>
          <w:rFonts w:ascii="黑体" w:hAnsi="黑体" w:eastAsia="黑体" w:cs="黑体"/>
          <w:spacing w:val="8"/>
          <w:sz w:val="31"/>
          <w:szCs w:val="31"/>
        </w:rPr>
        <w:t>败工作</w:t>
      </w:r>
    </w:p>
    <w:p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组织领导与责任分工</w:t>
      </w:r>
    </w:p>
    <w:p>
      <w:pPr>
        <w:spacing w:before="40"/>
      </w:pPr>
    </w:p>
    <w:tbl>
      <w:tblPr>
        <w:tblStyle w:val="7"/>
        <w:tblW w:w="13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672"/>
        <w:gridCol w:w="8550"/>
        <w:gridCol w:w="21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215" w:type="dxa"/>
            <w:vAlign w:val="top"/>
          </w:tcPr>
          <w:p>
            <w:pPr>
              <w:pStyle w:val="8"/>
              <w:spacing w:before="146" w:line="219" w:lineRule="auto"/>
              <w:jc w:val="center"/>
            </w:pPr>
            <w:r>
              <w:rPr>
                <w:spacing w:val="-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责任领导</w:t>
            </w:r>
          </w:p>
        </w:tc>
        <w:tc>
          <w:tcPr>
            <w:tcW w:w="1672" w:type="dxa"/>
            <w:vAlign w:val="top"/>
          </w:tcPr>
          <w:p>
            <w:pPr>
              <w:pStyle w:val="8"/>
              <w:spacing w:before="146" w:line="219" w:lineRule="auto"/>
              <w:jc w:val="center"/>
            </w:pPr>
            <w:r>
              <w:rPr>
                <w:spacing w:val="-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责任内容</w:t>
            </w:r>
          </w:p>
        </w:tc>
        <w:tc>
          <w:tcPr>
            <w:tcW w:w="8550" w:type="dxa"/>
            <w:vAlign w:val="top"/>
          </w:tcPr>
          <w:p>
            <w:pPr>
              <w:pStyle w:val="8"/>
              <w:spacing w:before="146" w:line="219" w:lineRule="auto"/>
              <w:jc w:val="center"/>
            </w:pPr>
            <w:r>
              <w:rPr>
                <w:spacing w:val="-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重点内容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146" w:line="219" w:lineRule="auto"/>
              <w:jc w:val="center"/>
            </w:pPr>
            <w:r>
              <w:rPr>
                <w:spacing w:val="-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215" w:type="dxa"/>
            <w:vMerge w:val="restart"/>
            <w:vAlign w:val="top"/>
          </w:tcPr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8"/>
              <w:spacing w:before="78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  <w:t>池积善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pStyle w:val="8"/>
              <w:spacing w:before="78" w:line="270" w:lineRule="auto"/>
              <w:ind w:left="135" w:right="9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对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  <w:lang w:val="en-US" w:eastAsia="zh-CN"/>
              </w:rPr>
              <w:t>松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  <w:lang w:val="en-US" w:eastAsia="zh-CN"/>
              </w:rPr>
              <w:t>阳校区（管委会、工程师学院）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党风廉政建设和反腐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败工作负</w:t>
            </w: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总责。对分管部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4"/>
                <w:szCs w:val="24"/>
              </w:rPr>
              <w:t>门及工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作职责范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</w:rPr>
              <w:t>围内的党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风廉政建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设负领导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4"/>
                <w:szCs w:val="24"/>
              </w:rPr>
              <w:t>责任，并</w:t>
            </w: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4"/>
              </w:rPr>
              <w:t>重点负责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以下工作</w:t>
            </w:r>
          </w:p>
        </w:tc>
        <w:tc>
          <w:tcPr>
            <w:tcW w:w="8550" w:type="dxa"/>
            <w:vAlign w:val="top"/>
          </w:tcPr>
          <w:p>
            <w:pPr>
              <w:pStyle w:val="8"/>
              <w:spacing w:before="75" w:line="261" w:lineRule="auto"/>
              <w:ind w:right="94" w:firstLine="242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1.以党的政治建设为统领，强化政治引领和政治监督，严明政治纪律和政治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规矩，层层压实压紧管党治党主体责任，增强党的政治领导力，严格落实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第一议题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制度，提高党委的政治执行力，推动中央和上级党委决策部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署的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贯彻落实。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4" w:line="256" w:lineRule="auto"/>
              <w:ind w:right="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13" w:line="247" w:lineRule="auto"/>
              <w:ind w:right="153"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2.加强党风廉政建设和反腐败工作的组织领导，坚决贯彻执行民主集中制，完善党内监督体系，强化权力公开，推进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松阳校区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管委会和工程师学院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治理能力和治理体系现代化。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13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8" w:line="246" w:lineRule="auto"/>
              <w:ind w:right="95" w:firstLine="244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3.严格执行新形势下党内政治生活若干准则，全面加强党对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</w:rPr>
              <w:t>松阳校区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管委会和工程师学院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各项事业发展的领导，定期开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展政治生态分析评估</w:t>
            </w:r>
            <w:r>
              <w:rPr>
                <w:rFonts w:hint="eastAsia" w:ascii="方正仿宋_GB2312" w:hAnsi="方正仿宋_GB2312" w:eastAsia="方正仿宋_GB2312" w:cs="方正仿宋_GB2312"/>
                <w:position w:val="1"/>
                <w:sz w:val="24"/>
                <w:szCs w:val="24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5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7" w:line="257" w:lineRule="auto"/>
              <w:ind w:right="95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4.抓好党委全面从严治党主体责任的落实，做好每季度的全面从严治党工作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,开好每年两次的全面从严治党暨政治生态建设分析会，推动管党治党责任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向纵深发展。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6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工程师学院党政办、管委会办公室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58" w:line="247" w:lineRule="auto"/>
              <w:ind w:right="95" w:firstLine="244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5.加强领导班子建设，督促班子成员严格贯彻执行中央八项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规定及其实施细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则，坚定不移反对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四风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，继续深化形式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主义、官僚主义问题集中整治。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82" w:line="256" w:lineRule="auto"/>
              <w:ind w:right="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pStyle w:val="8"/>
              <w:spacing w:before="41" w:line="264" w:lineRule="auto"/>
              <w:ind w:left="137" w:right="98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57" w:line="247" w:lineRule="auto"/>
              <w:ind w:right="94" w:firstLine="242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6.开展“实干争先年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活动，为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干事创业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营造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良好生态。加强对校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内巡察工作的领导，积极打造风清气正的政治生态。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81" w:line="256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5" w:line="256" w:lineRule="auto"/>
              <w:ind w:right="97" w:firstLine="242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7.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加强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对领导班子的监督，督促班子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成员切实履行“一岗双责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,加强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四责协同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机制建设，管好班子、带好队伍，对班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子成员开展廉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洁教育，对发现的苗头性、倾向性问题做到早提醒、早制止、早纠正。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4" w:line="246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8" w:line="256" w:lineRule="auto"/>
              <w:ind w:right="95" w:rightChars="0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严肃党内政治生活，认真落实党内监督有关制度。严把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党员发展质量关，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重视党员日常教育管理，开展领导干部的廉洁教育，严格落实领导干部述职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、个人事项报告、干部谈心谈话等制度。</w:t>
            </w:r>
          </w:p>
        </w:tc>
        <w:tc>
          <w:tcPr>
            <w:tcW w:w="2100" w:type="dxa"/>
            <w:vAlign w:val="center"/>
          </w:tcPr>
          <w:p>
            <w:pPr>
              <w:spacing w:before="253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管委会办公室、工程师学院党政办、学生科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8" w:line="256" w:lineRule="auto"/>
              <w:ind w:right="95" w:rightChars="0" w:firstLine="242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压紧压实意识形态工作责任制，深化意识形态专项检查，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强化意识形态阵地建设和监督管理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spacing w:before="253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管委会办公室、工程师学院党政办、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80" w:line="256" w:lineRule="auto"/>
              <w:ind w:right="95" w:rightChars="0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.认真做好党的民族宗教有关政策的宣传教育工作，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做好抵御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和防范宗教向校园渗透工作。加强党外民主监督工作。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3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管委会办公室、工程师学院党政办、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学生科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80" w:line="247" w:lineRule="auto"/>
              <w:ind w:right="95" w:rightChars="0" w:firstLine="242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加强对学生工作队伍的廉洁教育，严格规范学生工作各项经费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使用，规范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各类学生评比表彰和奖惩制度。加强学生党员廉洁教育。加强学生诚信教育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和廉洁修身教育。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3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管委会办公室、工程师学院党政办、学生科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80" w:line="247" w:lineRule="auto"/>
              <w:ind w:right="95" w:rightChars="0" w:firstLine="244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将“清廉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建设纳入思想政治工作和校园文化建设计划，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推动廉洁文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化与校园环境、文艺活动等相互渗透，营造清净校风。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3" w:line="247" w:lineRule="auto"/>
              <w:ind w:left="155" w:right="101" w:hanging="1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8" w:line="219" w:lineRule="auto"/>
              <w:ind w:firstLine="244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.持续抓好校园安全稳定，优化信访工作闭环机制，有效解决师生诉求，化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解矛盾风险。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3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管委会办公室、工程师学院党政办、学生科、后勤保障科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3" w:line="257" w:lineRule="auto"/>
              <w:ind w:right="95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.深入推进分管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的党风廉政建设和风险点排查、整改，对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分管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的下属领导干部开展廉政谈话，对发现的苗头性、倾向性问题做到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早提醒、早制止、早纠正。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3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工程师学院党政办、学生科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restart"/>
            <w:vAlign w:val="center"/>
          </w:tcPr>
          <w:p>
            <w:pPr>
              <w:pStyle w:val="8"/>
              <w:spacing w:before="78" w:line="22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val="en-US" w:eastAsia="zh-CN"/>
              </w:rPr>
              <w:t>鄢锋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pStyle w:val="8"/>
              <w:spacing w:before="41" w:line="357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对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松阳校区管委会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党风廉政建设和反腐败工作负总责。对分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管的部门以及工作职责范围内的党风廉政建设负领导责任，并重点负责以下工作</w:t>
            </w:r>
          </w:p>
        </w:tc>
        <w:tc>
          <w:tcPr>
            <w:tcW w:w="8550" w:type="dxa"/>
            <w:vAlign w:val="top"/>
          </w:tcPr>
          <w:p>
            <w:pPr>
              <w:pStyle w:val="8"/>
              <w:spacing w:before="75" w:line="248" w:lineRule="auto"/>
              <w:ind w:right="94" w:firstLine="242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1.全面履行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一把手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的党风廉政建设职责，督促检查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班子成员履行好“一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岗双责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7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6" w:line="219" w:lineRule="auto"/>
              <w:ind w:firstLine="242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2.严格执行民主集中制、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议事规则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、“三重一大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决策等制度，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建立健全科学高效的监督体系。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7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35" w:line="247" w:lineRule="auto"/>
              <w:ind w:right="153"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3.狠抓作风建设，推进服务型效能型机关建设，力戒形式主义、官僚主义，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坚定不移反对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四风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。推进信息公开工作。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7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58" w:line="261" w:lineRule="auto"/>
              <w:ind w:right="95" w:firstLine="244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.切实加强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</w:rPr>
              <w:t>松阳校区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办学过程中关键领域、重点环节的风险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防控和内控管理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。针对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巡查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、审计和查处违规违纪案件中发现的普遍性问题，加强自查自纠、防微杜渐。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提高办学资源使用管理效能，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提升预算绩效管理能力。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64" w:lineRule="auto"/>
              <w:ind w:right="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办公室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后勤保障科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pStyle w:val="8"/>
              <w:spacing w:before="72" w:line="220" w:lineRule="auto"/>
              <w:ind w:left="163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59" w:line="256" w:lineRule="auto"/>
              <w:ind w:right="94" w:firstLine="244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协助做好过渡期间原松阳校区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教职工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职业道德和纪律教育，建设“清正教风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80" w:line="262" w:lineRule="auto"/>
              <w:ind w:right="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、教务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  <w:lang w:val="en-US" w:eastAsia="zh-CN"/>
              </w:rPr>
              <w:t>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7" w:line="256" w:lineRule="auto"/>
              <w:ind w:right="95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协助做好过渡期间原松阳校区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教师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职称转评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等工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作的管理监督，进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一步优化绩效工资和绩效奖励分配，规范各类津补贴、劳务费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发放。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8" w:line="256" w:lineRule="auto"/>
              <w:ind w:right="95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.深入推进行政系统党风廉政建设和反腐败工作，推进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松阳校区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的风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险点排查、整改，对下属领导干部开展廉政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谈话，对发现的苗头性、倾向性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问题做到早提醒、早制止、早纠正。</w:t>
            </w:r>
          </w:p>
        </w:tc>
        <w:tc>
          <w:tcPr>
            <w:tcW w:w="2100" w:type="dxa"/>
            <w:vAlign w:val="center"/>
          </w:tcPr>
          <w:p>
            <w:pPr>
              <w:spacing w:before="205" w:line="264" w:lineRule="auto"/>
              <w:ind w:right="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5" w:type="dxa"/>
            <w:vMerge w:val="restart"/>
            <w:vAlign w:val="center"/>
          </w:tcPr>
          <w:p>
            <w:pPr>
              <w:pStyle w:val="8"/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  <w:lang w:val="en-US" w:eastAsia="zh-CN"/>
              </w:rPr>
              <w:t>胡伟俭</w:t>
            </w:r>
          </w:p>
        </w:tc>
        <w:tc>
          <w:tcPr>
            <w:tcW w:w="1672" w:type="dxa"/>
            <w:vMerge w:val="restart"/>
            <w:vAlign w:val="center"/>
          </w:tcPr>
          <w:p>
            <w:pPr>
              <w:pStyle w:val="8"/>
              <w:spacing w:before="41" w:line="357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对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工程师学院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党风廉政建设和反腐败工作负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责。对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工作职责范围内的党风廉政建设负领导责任，并重点负责以下工作</w:t>
            </w:r>
          </w:p>
        </w:tc>
        <w:tc>
          <w:tcPr>
            <w:tcW w:w="8550" w:type="dxa"/>
            <w:vAlign w:val="top"/>
          </w:tcPr>
          <w:p>
            <w:pPr>
              <w:pStyle w:val="8"/>
              <w:spacing w:before="75" w:line="248" w:lineRule="auto"/>
              <w:ind w:right="94" w:rightChars="0" w:firstLine="242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1.全面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落实二级学院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一把手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的党风廉政建设职责，督促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工程师学院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班子成员履行好“一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岗双责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3" w:line="248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6" w:line="219" w:lineRule="auto"/>
              <w:ind w:firstLine="242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2.严格执行民主集中制、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工程师学院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议事规则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、“三重一大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决策等制度，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建立健全科学高效的监督体系。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8" w:line="22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35" w:line="247" w:lineRule="auto"/>
              <w:ind w:right="153" w:rightChars="0"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3.狠抓作风建设，推进服务型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新型机构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建设，力戒形式主义、官僚主义，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坚定不移反对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四风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。推进信息公开工作。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58" w:line="261" w:lineRule="auto"/>
              <w:ind w:right="95" w:rightChars="0" w:firstLine="244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.切实加强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工程师学院建设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过程中关键领域、重点环节的风险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防控和内控管理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。加强自查自纠、防微杜渐。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提高办学资源使用管理效能，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提升预算绩效管理能力。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7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8" w:line="219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进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一步优化绩效工资和绩效奖励分配，规范各类津补贴、劳务费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发放。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ind w:left="1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21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250" w:line="257" w:lineRule="auto"/>
              <w:ind w:right="95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6.深入推进分管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的党风廉政建设和风险点排查、整改，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对分管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的下属领导干部开展廉政谈话，对发现的苗头性、倾向性问题做到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早提醒、早制止、早纠正。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5" w:line="261" w:lineRule="auto"/>
              <w:ind w:right="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val="en-US" w:eastAsia="zh-CN"/>
              </w:rPr>
              <w:t>陈铭霞</w:t>
            </w: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94" w:line="272" w:lineRule="auto"/>
              <w:ind w:right="9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协助党委抓好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  <w:lang w:val="en-US" w:eastAsia="zh-CN"/>
              </w:rPr>
              <w:t>松阳校区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党风廉政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建设和反腐败工作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组织落实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。对分管的纪检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及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  <w:lang w:val="en-US" w:eastAsia="zh-CN"/>
              </w:rPr>
              <w:t>工程师学院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工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作职责范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sz w:val="24"/>
                <w:szCs w:val="24"/>
              </w:rPr>
              <w:t>围内的党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4"/>
                <w:szCs w:val="24"/>
              </w:rPr>
              <w:t>风廉政建</w:t>
            </w: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设负领导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4"/>
                <w:szCs w:val="24"/>
              </w:rPr>
              <w:t>责任，并</w:t>
            </w:r>
            <w:r>
              <w:rPr>
                <w:rFonts w:hint="eastAsia" w:ascii="方正仿宋_GB2312" w:hAnsi="方正仿宋_GB2312" w:eastAsia="方正仿宋_GB2312" w:cs="方正仿宋_GB2312"/>
                <w:spacing w:val="-17"/>
                <w:sz w:val="24"/>
                <w:szCs w:val="24"/>
              </w:rPr>
              <w:t>重点负责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以下工作</w:t>
            </w: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5" w:line="264" w:lineRule="auto"/>
              <w:ind w:right="97" w:firstLine="238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1.以政治监督为统领，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加强对党中央和上级、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松阳校区管委会和工程师学院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党委重大决策部署落实情况的监督检查，认真落实党内监督各项制度，加强对各类问题清单落实情况的监督检查。持续抓好对执行中央八项规定及其实施细则精神的监督检查，驰而不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息纠治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四风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7" w:line="256" w:lineRule="auto"/>
              <w:ind w:right="97" w:firstLine="242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2.协助党委推进全面从严治党、层层抓好“两个责任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落实。开展对落实党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委“清廉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建设方案和实施意见情况的监督检查，扎实推进清廉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校区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建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设。开展党风廉政警示教育，增强党员干部纪律意识。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4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9" w:line="256" w:lineRule="auto"/>
              <w:ind w:right="95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3.协助党委开展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校区内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政治巡察，加强巡察整改，提升巡察的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质量。以专项监督、校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内巡察、数字化监督为抓手，强化对落实“三重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一大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事项决策程序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、党务公开、信息公开的监督检查，推动全面从严治党监督责任落到实处。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5" w:line="247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8" w:line="247" w:lineRule="auto"/>
              <w:ind w:right="95" w:firstLine="244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4.做好信访举报和问题线索处置工作，加强审查调查的安全工作。落实纪检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监察体制改革要求，建设高素质纪检监察干部队伍。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7" w:line="220" w:lineRule="auto"/>
              <w:ind w:firstLine="236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重视廉洁文化进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工作，将廉洁教育作为党委理论学习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中心组、教职工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政治学习的必备内容，大力弘扬廉洁文化，传承红色基因、红色文化，不断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深化家规家训家风建设。开展党员廉洁教育，充分挖掘身边“清廉故事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，加大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“清廉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eastAsia="zh-CN"/>
              </w:rPr>
              <w:t>校区”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建设宣传。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7" w:line="220" w:lineRule="auto"/>
              <w:ind w:firstLine="236" w:firstLineChars="100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6.协助做好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工程师学院建设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过程中关键领域、重点环节的风险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防控和内控管理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7" w:line="220" w:lineRule="auto"/>
              <w:ind w:firstLine="236" w:firstLineChars="100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加强与地方对接联系，提高服务地方能力，做好校地合作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的廉洁工作。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9" w:line="247" w:lineRule="auto"/>
              <w:ind w:right="95" w:firstLine="244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.深入推进党风廉政建设和风险点排查、整改，推进分管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的风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险点排查、整改，开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展廉政谈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话，对发现的苗头性、倾向性问题做到早提醒、早制止、早纠正。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  <w:t>叶魏丽</w:t>
            </w:r>
          </w:p>
        </w:tc>
        <w:tc>
          <w:tcPr>
            <w:tcW w:w="1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before="194" w:line="272" w:lineRule="auto"/>
              <w:ind w:right="9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对分管部门及工作职责范围内的党风廉政建设负领导责任，并重点负责以下工作</w:t>
            </w:r>
          </w:p>
        </w:tc>
        <w:tc>
          <w:tcPr>
            <w:tcW w:w="8550" w:type="dxa"/>
            <w:vAlign w:val="top"/>
          </w:tcPr>
          <w:p>
            <w:pPr>
              <w:pStyle w:val="8"/>
              <w:spacing w:before="79" w:line="247" w:lineRule="auto"/>
              <w:ind w:right="153" w:rightChars="0" w:firstLine="242" w:firstLineChars="100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1.加强分管部门的作风建设。提高经费预算与内涵建设的匹配度，持续推进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增收节支、开源节流活动。</w:t>
            </w: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教务科、后勤保障科、松阳校区图书馆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7" w:line="261" w:lineRule="auto"/>
              <w:ind w:right="95" w:rightChars="0" w:firstLine="242" w:firstLineChars="10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.加强对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松阳校区教务工作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组织管理的领导，规范各个环节程序，健全责任体系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。</w:t>
            </w: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教务科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7" w:line="261" w:lineRule="auto"/>
              <w:ind w:right="95" w:rightChars="0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3.落实意识形态工作责任制，强化对课堂等意识形态主阵地的建设和管理。</w:t>
            </w: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教务科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9" w:line="256" w:lineRule="auto"/>
              <w:ind w:right="97" w:rightChars="0" w:firstLine="242" w:firstLineChars="10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.严格执行“收支两条线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要求，依法依规组织收入，规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范支出管理，完善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内部管理制度和控制体系。加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强财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务、法律审核把关，防止国有资产流失损失。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后勤保障科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132" w:line="246" w:lineRule="auto"/>
              <w:ind w:right="95" w:rightChars="0" w:firstLine="244" w:firstLineChars="100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.加强校园新建项目、基本建设、修缮项目的廉政风险防范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，加强工作人员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廉政教育。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后勤保障科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6" w:line="257" w:lineRule="auto"/>
              <w:ind w:right="95" w:rightChars="0" w:firstLine="244" w:firstLineChars="100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.进一步健全后勤保障和资产管理制度和机制，健全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</w:rPr>
              <w:t>松阳校区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内部采购招投标的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风险防范制度。贯彻食品安全法律法规和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四个最严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要求，监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督保障校园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食品安全。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后勤保障科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9" w:line="219" w:lineRule="auto"/>
              <w:ind w:firstLine="244" w:firstLineChars="100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.加强对图书资料采购、信息化改造各个工作环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节规范操作的领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t>导。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松阳校区图书馆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9" w:line="219" w:lineRule="auto"/>
              <w:ind w:firstLine="242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8.协助做好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党员发展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党员日常教育管理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工程师学院党政办、学生科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8" w:line="219" w:lineRule="auto"/>
              <w:ind w:firstLine="238" w:firstLineChars="100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加强对党费使用工作的监管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3" w:line="247" w:lineRule="auto"/>
              <w:ind w:right="101" w:right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78" w:line="219" w:lineRule="auto"/>
              <w:ind w:left="675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03" w:line="257" w:lineRule="auto"/>
              <w:ind w:left="155" w:right="98" w:hanging="20"/>
              <w:jc w:val="both"/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9" w:line="219" w:lineRule="auto"/>
              <w:ind w:firstLine="238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深入推进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文化建设，加强对文化经费的使用管理和监督。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vAlign w:val="top"/>
          </w:tcPr>
          <w:p>
            <w:pPr>
              <w:pStyle w:val="8"/>
              <w:spacing w:before="79" w:line="219" w:lineRule="auto"/>
              <w:ind w:firstLine="244" w:firstLineChars="100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深入推进分管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的党风廉政建设和风险点排查、整改，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对分管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干部开展廉政谈话，对发现的苗头性、倾向性问题做到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早提醒、早制止、早纠正。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教务科、后勤保障科、松阳校区图书馆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94" w:line="272" w:lineRule="auto"/>
              <w:ind w:right="98"/>
              <w:jc w:val="center"/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  <w:lang w:val="en-US" w:eastAsia="zh-CN"/>
              </w:rPr>
              <w:t>谢华勇</w:t>
            </w: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94" w:line="272" w:lineRule="auto"/>
              <w:ind w:right="98"/>
              <w:jc w:val="center"/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对分管部门及工作职责范围内的党风廉政建设负领导责任，并重点负责以下工作</w:t>
            </w: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9" w:line="219" w:lineRule="auto"/>
              <w:ind w:firstLine="244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1.扎实推进清廉机关、服务型效能型机关建设。</w:t>
            </w:r>
          </w:p>
          <w:p>
            <w:pPr>
              <w:pStyle w:val="8"/>
              <w:spacing w:before="79" w:line="219" w:lineRule="auto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9" w:line="219" w:lineRule="auto"/>
              <w:ind w:firstLine="244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2.落实意识形态工作责任制，强化对讲座、论坛、网络、报刊等意识形态阵地的建设和管理。</w:t>
            </w: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教务科、学生科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9" w:line="219" w:lineRule="auto"/>
              <w:ind w:firstLine="244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3.严格执行教职工出国（境）管理制度，按规定做好因私护照审批、管理。</w:t>
            </w:r>
          </w:p>
          <w:p>
            <w:pPr>
              <w:pStyle w:val="8"/>
              <w:spacing w:before="79" w:line="219" w:lineRule="auto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6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79" w:line="219" w:lineRule="auto"/>
              <w:ind w:firstLine="244" w:firstLineChars="100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  <w:t>4.认真宣传贯彻党的统战工作方针政策，严格执行统战工作纪律。协助做好党群统战、离退休系统法治教育和廉洁教育，加强党外监督，畅通民主监督渠道，发挥好党外监督和民主监督的作用，落实风险隐患闭环管控。</w:t>
            </w:r>
          </w:p>
        </w:tc>
        <w:tc>
          <w:tcPr>
            <w:tcW w:w="2100" w:type="dxa"/>
            <w:vAlign w:val="top"/>
          </w:tcPr>
          <w:p>
            <w:pPr>
              <w:pStyle w:val="8"/>
              <w:spacing w:before="253" w:line="247" w:lineRule="auto"/>
              <w:ind w:right="101" w:right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管委会办公室、工程师学院党政办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50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5.深入推进部门党风廉政建设和风险点排查、整改，对下属开展廉政谈话，对发现的苗头性、倾向性问题做到早提醒、早制止、早纠正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7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管委会办公室</w:t>
            </w:r>
          </w:p>
        </w:tc>
      </w:tr>
    </w:tbl>
    <w:p>
      <w:pPr>
        <w:pStyle w:val="2"/>
        <w:spacing w:line="155" w:lineRule="exact"/>
        <w:rPr>
          <w:sz w:val="13"/>
        </w:rPr>
      </w:pPr>
    </w:p>
    <w:p>
      <w:pPr>
        <w:spacing w:before="46"/>
      </w:pPr>
    </w:p>
    <w:p/>
    <w:p>
      <w:pPr>
        <w:jc w:val="right"/>
        <w:rPr>
          <w:sz w:val="24"/>
          <w:szCs w:val="24"/>
        </w:rPr>
        <w:sectPr>
          <w:footerReference r:id="rId5" w:type="default"/>
          <w:pgSz w:w="16839" w:h="11906"/>
          <w:pgMar w:top="1012" w:right="2086" w:bottom="1103" w:left="1371" w:header="0" w:footer="941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0"/>
          <w:sz w:val="24"/>
          <w:szCs w:val="24"/>
        </w:rPr>
        <w:t>2025年3月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21</w:t>
      </w:r>
      <w:r>
        <w:rPr>
          <w:rFonts w:ascii="仿宋" w:hAnsi="仿宋" w:eastAsia="仿宋" w:cs="仿宋"/>
          <w:spacing w:val="0"/>
          <w:sz w:val="24"/>
          <w:szCs w:val="24"/>
        </w:rPr>
        <w:t>日</w:t>
      </w: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line="29" w:lineRule="exact"/>
      </w:pPr>
      <w:r>
        <w:pict>
          <v:shape id="_x0000_s1027" o:spid="_x0000_s1027" style="height:1.45pt;width:470.9pt;" filled="f" stroked="t" coordsize="9417,29" path="m0,14l9417,14e">
            <v:fill on="f" focussize="0,0"/>
            <v:stroke weight="1.44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spacing w:before="97" w:line="222" w:lineRule="auto"/>
        <w:ind w:left="4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中共丽水学院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工程师</w:t>
      </w:r>
      <w:r>
        <w:rPr>
          <w:rFonts w:ascii="仿宋" w:hAnsi="仿宋" w:eastAsia="仿宋" w:cs="仿宋"/>
          <w:spacing w:val="-10"/>
          <w:sz w:val="28"/>
          <w:szCs w:val="28"/>
        </w:rPr>
        <w:t>委员会2025年3月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21</w:t>
      </w:r>
      <w:r>
        <w:rPr>
          <w:rFonts w:ascii="仿宋" w:hAnsi="仿宋" w:eastAsia="仿宋" w:cs="仿宋"/>
          <w:spacing w:val="-10"/>
          <w:sz w:val="28"/>
          <w:szCs w:val="28"/>
        </w:rPr>
        <w:t>日印发</w:t>
      </w:r>
    </w:p>
    <w:p>
      <w:pPr>
        <w:spacing w:before="64" w:line="29" w:lineRule="exact"/>
      </w:pPr>
      <w:r>
        <w:pict>
          <v:shape id="_x0000_s1028" o:spid="_x0000_s1028" style="height:1.45pt;width:470.9pt;" filled="f" stroked="t" coordsize="9417,29" path="m0,14l9417,14e">
            <v:fill on="f" focussize="0,0"/>
            <v:stroke weight="1.44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line="284" w:lineRule="auto"/>
      </w:pPr>
    </w:p>
    <w:p>
      <w:pPr>
        <w:spacing w:before="52" w:line="188" w:lineRule="auto"/>
        <w:ind w:left="10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—12—</w:t>
      </w:r>
    </w:p>
    <w:sectPr>
      <w:footerReference r:id="rId6" w:type="default"/>
      <w:pgSz w:w="11906" w:h="16839"/>
      <w:pgMar w:top="1431" w:right="1009" w:bottom="400" w:left="147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F96A8A-3E65-48E1-AF8B-8642B38DE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B3CCD4-331F-4B16-9F0F-A09DDB5B45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4D0C7E-64B8-475A-83CF-4CB96CFFF7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hjZDMwMWY4ZTQ5NzgwZmMwMWQwOGI5MDZmNGViNWMifQ=="/>
  </w:docVars>
  <w:rsids>
    <w:rsidRoot w:val="00000000"/>
    <w:rsid w:val="00E2647B"/>
    <w:rsid w:val="01CF72E5"/>
    <w:rsid w:val="021E3195"/>
    <w:rsid w:val="031645FE"/>
    <w:rsid w:val="0442423B"/>
    <w:rsid w:val="04DE21B6"/>
    <w:rsid w:val="05373674"/>
    <w:rsid w:val="05B707E8"/>
    <w:rsid w:val="074F4C03"/>
    <w:rsid w:val="0857545F"/>
    <w:rsid w:val="08B33B0B"/>
    <w:rsid w:val="0A4026A3"/>
    <w:rsid w:val="0A8A06EA"/>
    <w:rsid w:val="0CE829B2"/>
    <w:rsid w:val="0E6B25E0"/>
    <w:rsid w:val="10150C4B"/>
    <w:rsid w:val="116E48C1"/>
    <w:rsid w:val="12A3059B"/>
    <w:rsid w:val="12DD0F08"/>
    <w:rsid w:val="13F62EDB"/>
    <w:rsid w:val="1481490C"/>
    <w:rsid w:val="1577270E"/>
    <w:rsid w:val="177B30C1"/>
    <w:rsid w:val="17CE1006"/>
    <w:rsid w:val="1892117D"/>
    <w:rsid w:val="19911315"/>
    <w:rsid w:val="1ABF1D67"/>
    <w:rsid w:val="1C3A0744"/>
    <w:rsid w:val="1C592560"/>
    <w:rsid w:val="1CD6309B"/>
    <w:rsid w:val="1DF655C9"/>
    <w:rsid w:val="1EFB13AD"/>
    <w:rsid w:val="21360FD4"/>
    <w:rsid w:val="21426803"/>
    <w:rsid w:val="222608A0"/>
    <w:rsid w:val="230706D2"/>
    <w:rsid w:val="23BD5235"/>
    <w:rsid w:val="245B6F27"/>
    <w:rsid w:val="24CB3E93"/>
    <w:rsid w:val="24F574B3"/>
    <w:rsid w:val="26964247"/>
    <w:rsid w:val="27C9719E"/>
    <w:rsid w:val="29052D01"/>
    <w:rsid w:val="2A600655"/>
    <w:rsid w:val="2AD15346"/>
    <w:rsid w:val="2B412655"/>
    <w:rsid w:val="2C5373DC"/>
    <w:rsid w:val="2DBB05C0"/>
    <w:rsid w:val="2F6537AB"/>
    <w:rsid w:val="308A649E"/>
    <w:rsid w:val="31B11A10"/>
    <w:rsid w:val="31E926FC"/>
    <w:rsid w:val="342E27C0"/>
    <w:rsid w:val="3437693D"/>
    <w:rsid w:val="343E5F1E"/>
    <w:rsid w:val="349F1221"/>
    <w:rsid w:val="350360CB"/>
    <w:rsid w:val="362C50BC"/>
    <w:rsid w:val="373A29CC"/>
    <w:rsid w:val="378E2258"/>
    <w:rsid w:val="380C36B3"/>
    <w:rsid w:val="387E5484"/>
    <w:rsid w:val="394812A7"/>
    <w:rsid w:val="3A1F234D"/>
    <w:rsid w:val="3B5B5699"/>
    <w:rsid w:val="3BA42B0A"/>
    <w:rsid w:val="3E246184"/>
    <w:rsid w:val="3E5C356F"/>
    <w:rsid w:val="3F3454BE"/>
    <w:rsid w:val="3F3B19D7"/>
    <w:rsid w:val="3F4404B4"/>
    <w:rsid w:val="3F631B80"/>
    <w:rsid w:val="3FA550A3"/>
    <w:rsid w:val="40006AD6"/>
    <w:rsid w:val="402B37FA"/>
    <w:rsid w:val="41344930"/>
    <w:rsid w:val="421C75E3"/>
    <w:rsid w:val="422A026F"/>
    <w:rsid w:val="42370DB2"/>
    <w:rsid w:val="427553DA"/>
    <w:rsid w:val="43B20DED"/>
    <w:rsid w:val="45115DA5"/>
    <w:rsid w:val="46BA778F"/>
    <w:rsid w:val="46F56910"/>
    <w:rsid w:val="478C3B34"/>
    <w:rsid w:val="47A7036E"/>
    <w:rsid w:val="488C629B"/>
    <w:rsid w:val="48BA3541"/>
    <w:rsid w:val="49146021"/>
    <w:rsid w:val="4920162F"/>
    <w:rsid w:val="4A88090B"/>
    <w:rsid w:val="4AB56AE2"/>
    <w:rsid w:val="4AC76815"/>
    <w:rsid w:val="4AD30D16"/>
    <w:rsid w:val="4B4276C4"/>
    <w:rsid w:val="4DB14CD5"/>
    <w:rsid w:val="4E265429"/>
    <w:rsid w:val="4EA0011C"/>
    <w:rsid w:val="4EA33D33"/>
    <w:rsid w:val="4EF13E61"/>
    <w:rsid w:val="5008118B"/>
    <w:rsid w:val="50A12196"/>
    <w:rsid w:val="526037D7"/>
    <w:rsid w:val="55E70589"/>
    <w:rsid w:val="567B1AA3"/>
    <w:rsid w:val="57C87729"/>
    <w:rsid w:val="58975A79"/>
    <w:rsid w:val="58D72319"/>
    <w:rsid w:val="5A2A7633"/>
    <w:rsid w:val="5ACB7C5C"/>
    <w:rsid w:val="5CD001BE"/>
    <w:rsid w:val="5CD86660"/>
    <w:rsid w:val="5D2C42B6"/>
    <w:rsid w:val="5DBC1ADE"/>
    <w:rsid w:val="5DE0125F"/>
    <w:rsid w:val="5FDB5835"/>
    <w:rsid w:val="61195413"/>
    <w:rsid w:val="61795013"/>
    <w:rsid w:val="617A346A"/>
    <w:rsid w:val="617B73CB"/>
    <w:rsid w:val="621B3277"/>
    <w:rsid w:val="62465D54"/>
    <w:rsid w:val="624A0FF7"/>
    <w:rsid w:val="627B5AC3"/>
    <w:rsid w:val="629C33C1"/>
    <w:rsid w:val="640970FF"/>
    <w:rsid w:val="65470F70"/>
    <w:rsid w:val="656C3DE9"/>
    <w:rsid w:val="65B955CF"/>
    <w:rsid w:val="676F34C5"/>
    <w:rsid w:val="678774DE"/>
    <w:rsid w:val="6917406C"/>
    <w:rsid w:val="6AE02D20"/>
    <w:rsid w:val="6BD10E4A"/>
    <w:rsid w:val="6C6A0C76"/>
    <w:rsid w:val="6C972636"/>
    <w:rsid w:val="6CB712E7"/>
    <w:rsid w:val="6CBC7404"/>
    <w:rsid w:val="6D201D79"/>
    <w:rsid w:val="6DAC2FD8"/>
    <w:rsid w:val="6DB14A8F"/>
    <w:rsid w:val="6FCF36B8"/>
    <w:rsid w:val="6FF25912"/>
    <w:rsid w:val="72282939"/>
    <w:rsid w:val="725974A3"/>
    <w:rsid w:val="7290070B"/>
    <w:rsid w:val="72B312A9"/>
    <w:rsid w:val="73944C37"/>
    <w:rsid w:val="744C7A4D"/>
    <w:rsid w:val="74940C67"/>
    <w:rsid w:val="751B4EE4"/>
    <w:rsid w:val="75357D54"/>
    <w:rsid w:val="75512E1E"/>
    <w:rsid w:val="76312C11"/>
    <w:rsid w:val="770C2D36"/>
    <w:rsid w:val="777259F1"/>
    <w:rsid w:val="77C83C83"/>
    <w:rsid w:val="78EB02D7"/>
    <w:rsid w:val="7BB90444"/>
    <w:rsid w:val="7C093CE8"/>
    <w:rsid w:val="7CB251DE"/>
    <w:rsid w:val="7CDB38D7"/>
    <w:rsid w:val="7EA47CF8"/>
    <w:rsid w:val="7F757EFD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新宋体" w:hAnsi="新宋体" w:eastAsia="新宋体" w:cs="新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4587</Words>
  <Characters>4675</Characters>
  <TotalTime>3</TotalTime>
  <ScaleCrop>false</ScaleCrop>
  <LinksUpToDate>false</LinksUpToDate>
  <CharactersWithSpaces>4676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2025-03-14T11:35:00Z</dcterms:created>
  <dc:creator>Data</dc:creator>
  <cp:lastModifiedBy>眉眼弯弯</cp:lastModifiedBy>
  <dcterms:modified xsi:type="dcterms:W3CDTF">2026-03-24T06:49:50Z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2025-03-17T08:59:11Z</vt:filetime>
  </property>
  <property fmtid="{D5CDD505-2E9C-101B-9397-08002B2CF9AE}" pid="4" name="KSOProductBuildVer">
    <vt:lpwstr>2052-12.1.0.16120</vt:lpwstr>
  </property>
  <property fmtid="{D5CDD505-2E9C-101B-9397-08002B2CF9AE}" pid="5" name="ICV">
    <vt:lpwstr>DDCB70957C744A0E9F9167FBCC3D3CFC_13</vt:lpwstr>
  </property>
  <property fmtid="{D5CDD505-2E9C-101B-9397-08002B2CF9AE}" pid="6" name="KSOTemplateDocerSaveRecord">
    <vt:lpwstr>eyJoZGlkIjoiOWVlODZkNzZjZGIzZmM5ZTIxYjU2NjVlMDI1NzhiNDgiLCJ1c2VySWQiOiIzMzk0MjQwMDQifQ==</vt:lpwstr>
  </property>
</Properties>
</file>